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C9" w:rsidRDefault="00093BC9" w:rsidP="002F01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1037" w:rsidRPr="002330BB" w:rsidRDefault="002330BB" w:rsidP="002F0195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Material 3 –</w:t>
      </w:r>
      <w:r w:rsidR="009A04D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F02C6C" w:rsidRPr="00F02C6C">
        <w:rPr>
          <w:rFonts w:ascii="Times New Roman" w:hAnsi="Times New Roman" w:cs="Times New Roman"/>
          <w:b/>
          <w:sz w:val="24"/>
          <w:szCs w:val="24"/>
          <w:lang w:val="en-US"/>
        </w:rPr>
        <w:t>Different views on the same culture.</w:t>
      </w:r>
      <w:bookmarkStart w:id="0" w:name="_GoBack"/>
      <w:bookmarkEnd w:id="0"/>
      <w:proofErr w:type="gramEnd"/>
    </w:p>
    <w:p w:rsidR="00093BC9" w:rsidRDefault="00093BC9" w:rsidP="00093BC9">
      <w:pPr>
        <w:rPr>
          <w:rFonts w:ascii="Times New Roman" w:hAnsi="Times New Roman" w:cs="Times New Roman"/>
          <w:sz w:val="24"/>
          <w:szCs w:val="24"/>
        </w:rPr>
      </w:pPr>
      <w:r w:rsidRPr="00093BC9">
        <w:rPr>
          <w:rFonts w:ascii="Times New Roman" w:hAnsi="Times New Roman" w:cs="Times New Roman"/>
          <w:sz w:val="24"/>
          <w:szCs w:val="24"/>
        </w:rPr>
        <w:t xml:space="preserve">Tools: </w:t>
      </w:r>
    </w:p>
    <w:p w:rsidR="00093BC9" w:rsidRPr="00093BC9" w:rsidRDefault="00202BA9" w:rsidP="00093BC9">
      <w:pPr>
        <w:rPr>
          <w:rFonts w:ascii="Times New Roman" w:hAnsi="Times New Roman" w:cs="Times New Roman"/>
          <w:color w:val="00B0F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B0F0"/>
          <w:sz w:val="24"/>
          <w:szCs w:val="24"/>
          <w:u w:val="single"/>
        </w:rPr>
        <w:t>Other resources</w:t>
      </w:r>
    </w:p>
    <w:p w:rsidR="00093BC9" w:rsidRPr="002F0195" w:rsidRDefault="00093BC9" w:rsidP="002F019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lle"/>
        <w:tblW w:w="5000" w:type="pct"/>
        <w:tblLook w:val="04A0"/>
      </w:tblPr>
      <w:tblGrid>
        <w:gridCol w:w="1525"/>
        <w:gridCol w:w="7763"/>
      </w:tblGrid>
      <w:tr w:rsidR="00B5734C" w:rsidRPr="005A075D">
        <w:tc>
          <w:tcPr>
            <w:tcW w:w="821" w:type="pct"/>
          </w:tcPr>
          <w:p w:rsidR="00B5734C" w:rsidRDefault="00B5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Why ?</w:t>
            </w:r>
          </w:p>
        </w:tc>
        <w:tc>
          <w:tcPr>
            <w:tcW w:w="4179" w:type="pct"/>
          </w:tcPr>
          <w:p w:rsidR="002F0195" w:rsidRPr="00211FB0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</w:pPr>
            <w:r w:rsidRPr="00211FB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Aims and contents</w:t>
            </w:r>
          </w:p>
          <w:p w:rsidR="002F0195" w:rsidRPr="00211FB0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The activities aim</w:t>
            </w:r>
            <w:r w:rsidR="000578C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for </w:t>
            </w:r>
            <w:r w:rsidR="000578C0" w:rsidRPr="000578C0">
              <w:rPr>
                <w:rFonts w:ascii="Times New Roman" w:hAnsi="Times New Roman"/>
                <w:color w:val="FF0000"/>
                <w:sz w:val="24"/>
                <w:szCs w:val="24"/>
                <w:lang w:val="en-US" w:eastAsia="pl-PL"/>
              </w:rPr>
              <w:t>students</w:t>
            </w:r>
            <w:r w:rsidRPr="000578C0">
              <w:rPr>
                <w:rFonts w:ascii="Times New Roman" w:hAnsi="Times New Roman"/>
                <w:color w:val="FF0000"/>
                <w:sz w:val="24"/>
                <w:szCs w:val="24"/>
                <w:lang w:val="en-US" w:eastAsia="pl-PL"/>
              </w:rPr>
              <w:t xml:space="preserve"> </w:t>
            </w:r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to:</w:t>
            </w:r>
          </w:p>
          <w:p w:rsidR="002F0195" w:rsidRPr="00211FB0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-</w:t>
            </w:r>
            <w:proofErr w:type="gramStart"/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develop</w:t>
            </w:r>
            <w:proofErr w:type="gramEnd"/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awareness of the differences between their perception of th</w:t>
            </w:r>
            <w:r w:rsidR="000578C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eir culture/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other cultures </w:t>
            </w:r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and the perception by other individuals,</w:t>
            </w:r>
          </w:p>
          <w:p w:rsidR="002F0195" w:rsidRPr="00211FB0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-</w:t>
            </w:r>
            <w:proofErr w:type="gramStart"/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think</w:t>
            </w:r>
            <w:proofErr w:type="gramEnd"/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 xml:space="preserve"> critically and reason. </w:t>
            </w:r>
          </w:p>
          <w:p w:rsidR="002F0195" w:rsidRPr="00211FB0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211FB0">
              <w:rPr>
                <w:rFonts w:ascii="Times New Roman" w:hAnsi="Times New Roman"/>
                <w:b/>
                <w:color w:val="000000"/>
                <w:sz w:val="24"/>
                <w:szCs w:val="24"/>
                <w:lang w:val="en-US" w:eastAsia="pl-PL"/>
              </w:rPr>
              <w:t>Targeted competences</w:t>
            </w:r>
          </w:p>
          <w:p w:rsidR="002F0195" w:rsidRPr="00211FB0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-I can develop a system of interpretation which enables to perceive the particular characteristics of a culture (meanings, beliefs, cultural practices), (CARAP, skills S-1.10)</w:t>
            </w:r>
          </w:p>
          <w:p w:rsidR="002F0195" w:rsidRPr="00211FB0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-I can identify (</w:t>
            </w:r>
            <w:proofErr w:type="spellStart"/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recognise</w:t>
            </w:r>
            <w:proofErr w:type="spellEnd"/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) cultural specificities/references/affinities, (CARAP, skills S-2.8)</w:t>
            </w:r>
          </w:p>
          <w:p w:rsidR="002F0195" w:rsidRPr="00211FB0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-I can identify (</w:t>
            </w:r>
            <w:proofErr w:type="spellStart"/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recognise</w:t>
            </w:r>
            <w:proofErr w:type="spellEnd"/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) specific forms of behavior linked to cultural differences, (CARAP, skills S-2.10)</w:t>
            </w:r>
          </w:p>
          <w:p w:rsidR="005C0B86" w:rsidRPr="000578C0" w:rsidRDefault="002F0195" w:rsidP="000578C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</w:pPr>
            <w:r w:rsidRPr="00211FB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-I can talk about/explain certain aspects of my language/culture/other languages/cultures, (CARAP, skills S-4)</w:t>
            </w:r>
            <w:r w:rsidR="000578C0">
              <w:rPr>
                <w:rFonts w:ascii="Times New Roman" w:hAnsi="Times New Roman"/>
                <w:color w:val="000000"/>
                <w:sz w:val="24"/>
                <w:szCs w:val="24"/>
                <w:lang w:val="en-US" w:eastAsia="pl-PL"/>
              </w:rPr>
              <w:t>.</w:t>
            </w:r>
          </w:p>
        </w:tc>
      </w:tr>
      <w:tr w:rsidR="00B5734C" w:rsidRPr="005A075D">
        <w:tc>
          <w:tcPr>
            <w:tcW w:w="821" w:type="pct"/>
          </w:tcPr>
          <w:p w:rsidR="00B5734C" w:rsidRDefault="00B5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What ?</w:t>
            </w:r>
          </w:p>
        </w:tc>
        <w:tc>
          <w:tcPr>
            <w:tcW w:w="4179" w:type="pct"/>
          </w:tcPr>
          <w:p w:rsidR="00B5734C" w:rsidRPr="00B5734C" w:rsidRDefault="00B5734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 aspects of everyday life, habits, values, beliefs</w:t>
            </w:r>
          </w:p>
        </w:tc>
      </w:tr>
      <w:tr w:rsidR="00B5734C" w:rsidRPr="005A075D">
        <w:tc>
          <w:tcPr>
            <w:tcW w:w="821" w:type="pct"/>
          </w:tcPr>
          <w:p w:rsidR="00B5734C" w:rsidRDefault="00B573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How ?</w:t>
            </w:r>
          </w:p>
        </w:tc>
        <w:tc>
          <w:tcPr>
            <w:tcW w:w="4179" w:type="pct"/>
          </w:tcPr>
          <w:p w:rsidR="002F0195" w:rsidRPr="00765454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Teacher trainer prepares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a series of quotations from books</w:t>
            </w:r>
            <w:r>
              <w:rPr>
                <w:rStyle w:val="Marquenotebasdepage"/>
                <w:rFonts w:ascii="Times New Roman" w:hAnsi="Times New Roman"/>
                <w:sz w:val="16"/>
                <w:szCs w:val="16"/>
                <w:lang w:val="en-US" w:eastAsia="pl-PL"/>
              </w:rPr>
              <w:footnoteReference w:id="1"/>
            </w:r>
            <w:r w:rsidRPr="00765454">
              <w:rPr>
                <w:rFonts w:ascii="Times New Roman" w:hAnsi="Times New Roman"/>
                <w:sz w:val="16"/>
                <w:szCs w:val="16"/>
                <w:lang w:val="en-US"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describing the countries/communities of all institutions participating in the mobility.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The </w:t>
            </w:r>
            <w:proofErr w:type="gramStart"/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name of the country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/community, its inhabitants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or any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other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obvious clue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s are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deleted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.</w:t>
            </w:r>
          </w:p>
          <w:p w:rsidR="002F0195" w:rsidRPr="002F0195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Different corners are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organis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ed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in the room -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each representing one of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the countries </w:t>
            </w:r>
            <w:r w:rsidRPr="002F0195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involved in the mobility. </w:t>
            </w:r>
          </w:p>
          <w:p w:rsidR="002F0195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2F0195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Each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student </w:t>
            </w:r>
            <w:r w:rsidRPr="002F0195">
              <w:rPr>
                <w:rFonts w:ascii="Times New Roman" w:hAnsi="Times New Roman"/>
                <w:sz w:val="24"/>
                <w:szCs w:val="24"/>
                <w:lang w:val="en-US" w:eastAsia="pl-PL"/>
              </w:rPr>
              <w:t>receives a quotation. He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/she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reads it and goes to the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corresponding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corner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. Once all students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have made their decision about where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they belong, they share the contents of their quotation with others and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explain why they have chosen this specific country. </w:t>
            </w:r>
          </w:p>
          <w:p w:rsidR="002F0195" w:rsidRPr="00765454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A discussion takes place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during which students express their agreement or disagreement.</w:t>
            </w:r>
          </w:p>
          <w:p w:rsidR="002F0195" w:rsidRDefault="002F0195" w:rsidP="002F019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 w:eastAsia="pl-PL"/>
              </w:rPr>
            </w:pP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It is important to include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quotations about one’s own c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ountry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/community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as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one is not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always aware of the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way other people perceive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one and one’s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culture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.</w:t>
            </w:r>
          </w:p>
          <w:p w:rsidR="00B5734C" w:rsidRPr="00B5734C" w:rsidRDefault="002F0195" w:rsidP="002F019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Students write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two or three statements about the country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t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he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y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will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visit during their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mobility.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After the mobility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t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he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y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 xml:space="preserve">review these </w:t>
            </w:r>
            <w:r w:rsidRPr="00765454">
              <w:rPr>
                <w:rFonts w:ascii="Times New Roman" w:hAnsi="Times New Roman"/>
                <w:sz w:val="24"/>
                <w:szCs w:val="24"/>
                <w:lang w:val="en-US" w:eastAsia="pl-PL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en-US" w:eastAsia="pl-PL"/>
              </w:rPr>
              <w:t>omments and decide whether they are correct.</w:t>
            </w:r>
          </w:p>
        </w:tc>
      </w:tr>
      <w:tr w:rsidR="00B5734C" w:rsidRPr="005A075D">
        <w:tc>
          <w:tcPr>
            <w:tcW w:w="821" w:type="pct"/>
          </w:tcPr>
          <w:p w:rsidR="00B5734C" w:rsidRDefault="00B31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Product</w:t>
            </w:r>
          </w:p>
        </w:tc>
        <w:tc>
          <w:tcPr>
            <w:tcW w:w="4179" w:type="pct"/>
          </w:tcPr>
          <w:p w:rsidR="00B5734C" w:rsidRPr="00FF2E7A" w:rsidRDefault="00FF2E7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FF2E7A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A list of statements featuring information about different countries, nationalities and cultures.</w:t>
            </w:r>
          </w:p>
        </w:tc>
      </w:tr>
    </w:tbl>
    <w:p w:rsidR="00B5734C" w:rsidRPr="00B5734C" w:rsidRDefault="00B5734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B5734C" w:rsidRPr="00B5734C" w:rsidSect="001D1037">
      <w:headerReference w:type="even" r:id="rId7"/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F77" w:rsidRDefault="00790F77" w:rsidP="00B5734C">
      <w:pPr>
        <w:spacing w:after="0" w:line="240" w:lineRule="auto"/>
      </w:pPr>
      <w:r>
        <w:separator/>
      </w:r>
    </w:p>
  </w:endnote>
  <w:endnote w:type="continuationSeparator" w:id="0">
    <w:p w:rsidR="00790F77" w:rsidRDefault="00790F77" w:rsidP="00B5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5000000000000000000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876430"/>
      <w:docPartObj>
        <w:docPartGallery w:val="Page Numbers (Bottom of Page)"/>
        <w:docPartUnique/>
      </w:docPartObj>
    </w:sdtPr>
    <w:sdtContent>
      <w:p w:rsidR="00F02C6C" w:rsidRDefault="00F02C6C" w:rsidP="00F02C6C">
        <w:pPr>
          <w:pStyle w:val="Pieddepage"/>
          <w:jc w:val="center"/>
        </w:pPr>
        <w:fldSimple w:instr=" PAGE   \* MERGEFORMAT ">
          <w:r w:rsidR="00202BA9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</w:fldSimple>
      </w:p>
    </w:sdtContent>
  </w:sdt>
  <w:p w:rsidR="002330BB" w:rsidRDefault="002330BB">
    <w:pPr>
      <w:pStyle w:val="Pieddepage"/>
    </w:pPr>
  </w:p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F77" w:rsidRDefault="00790F77" w:rsidP="00B5734C">
      <w:pPr>
        <w:spacing w:after="0" w:line="240" w:lineRule="auto"/>
      </w:pPr>
      <w:r>
        <w:separator/>
      </w:r>
    </w:p>
  </w:footnote>
  <w:footnote w:type="continuationSeparator" w:id="0">
    <w:p w:rsidR="00790F77" w:rsidRDefault="00790F77" w:rsidP="00B5734C">
      <w:pPr>
        <w:spacing w:after="0" w:line="240" w:lineRule="auto"/>
      </w:pPr>
      <w:r>
        <w:continuationSeparator/>
      </w:r>
    </w:p>
  </w:footnote>
  <w:footnote w:id="1">
    <w:p w:rsidR="002F0195" w:rsidRPr="002330BB" w:rsidRDefault="002F0195" w:rsidP="002F0195">
      <w:pPr>
        <w:pStyle w:val="Notedebasdepage"/>
        <w:rPr>
          <w:rFonts w:ascii="Times" w:hAnsi="Times"/>
          <w:lang w:val="en-US"/>
        </w:rPr>
      </w:pPr>
      <w:r>
        <w:rPr>
          <w:rStyle w:val="Marquenotebasdepage"/>
        </w:rPr>
        <w:footnoteRef/>
      </w:r>
      <w:r w:rsidR="00F02C6C" w:rsidRPr="00F02C6C">
        <w:rPr>
          <w:lang w:val="en-US"/>
        </w:rPr>
        <w:t xml:space="preserve"> </w:t>
      </w:r>
      <w:r w:rsidRPr="00491036">
        <w:rPr>
          <w:rFonts w:ascii="Times" w:hAnsi="Times" w:cs="Calibri"/>
          <w:lang w:val="en-US" w:eastAsia="pl-PL"/>
        </w:rPr>
        <w:t>Suggestions for books that could be used: ‘Xenophobe guide to …’ series</w:t>
      </w:r>
      <w:r w:rsidR="00F02C6C" w:rsidRPr="00F02C6C">
        <w:rPr>
          <w:rFonts w:ascii="Times" w:hAnsi="Times"/>
          <w:lang w:val="en-US"/>
        </w:rPr>
        <w:t xml:space="preserve"> </w:t>
      </w:r>
      <w:hyperlink r:id="rId1" w:history="1">
        <w:r w:rsidRPr="00491036">
          <w:rPr>
            <w:rStyle w:val="Lienhypertexte"/>
            <w:rFonts w:ascii="Times" w:hAnsi="Times" w:cs="Calibri"/>
            <w:lang w:val="en-US" w:eastAsia="pl-PL"/>
          </w:rPr>
          <w:t>http://www.ovalbooks.com/xeno/index.html</w:t>
        </w:r>
      </w:hyperlink>
      <w:proofErr w:type="gramStart"/>
      <w:r w:rsidRPr="00491036">
        <w:rPr>
          <w:rFonts w:ascii="Times" w:hAnsi="Times" w:cs="Calibri"/>
          <w:lang w:val="en-US" w:eastAsia="pl-PL"/>
        </w:rPr>
        <w:t xml:space="preserve"> ;</w:t>
      </w:r>
      <w:proofErr w:type="gramEnd"/>
      <w:r w:rsidRPr="00491036">
        <w:rPr>
          <w:rFonts w:ascii="Times" w:hAnsi="Times" w:cs="Calibri"/>
          <w:lang w:val="en-US" w:eastAsia="pl-PL"/>
        </w:rPr>
        <w:t xml:space="preserve"> ‘Culture Shock’ series.</w:t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7C" w:rsidRDefault="00F02C6C" w:rsidP="00263E6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014E7C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14E7C" w:rsidRDefault="00014E7C" w:rsidP="00014E7C">
    <w:pPr>
      <w:pStyle w:val="En-tte"/>
      <w:ind w:right="360"/>
    </w:pPr>
  </w:p>
</w:hdr>
</file>

<file path=word/header2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4E7C" w:rsidRPr="005C0B86" w:rsidRDefault="002330BB" w:rsidP="00014E7C">
    <w:pPr>
      <w:pStyle w:val="Pieddepage"/>
      <w:ind w:right="360"/>
      <w:rPr>
        <w:rFonts w:ascii="Times" w:hAnsi="Times"/>
        <w:sz w:val="20"/>
        <w:szCs w:val="20"/>
      </w:rPr>
    </w:pPr>
    <w:r>
      <w:rPr>
        <w:rFonts w:ascii="Times" w:hAnsi="Times"/>
        <w:sz w:val="20"/>
        <w:szCs w:val="20"/>
      </w:rPr>
      <w:t xml:space="preserve">PluriMobil </w:t>
    </w:r>
    <w:r w:rsidR="005C0B86" w:rsidRPr="005C0B86">
      <w:rPr>
        <w:rFonts w:ascii="Times" w:hAnsi="Times"/>
        <w:sz w:val="20"/>
        <w:szCs w:val="20"/>
      </w:rPr>
      <w:t>M</w:t>
    </w:r>
    <w:r w:rsidR="00014E7C" w:rsidRPr="005C0B86">
      <w:rPr>
        <w:rFonts w:ascii="Times" w:hAnsi="Times"/>
        <w:sz w:val="20"/>
        <w:szCs w:val="20"/>
      </w:rPr>
      <w:t>aterial 3</w:t>
    </w:r>
    <w:r w:rsidR="005C0B86" w:rsidRPr="005C0B86">
      <w:rPr>
        <w:rFonts w:ascii="Times" w:hAnsi="Times"/>
        <w:sz w:val="20"/>
        <w:szCs w:val="20"/>
      </w:rPr>
      <w:t>- trainee teacher_STEREOTYPES</w:t>
    </w:r>
  </w:p>
  <w:p w:rsidR="00014E7C" w:rsidRDefault="00014E7C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trackRevisions/>
  <w:doNotTrackMov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5734C"/>
    <w:rsid w:val="00014E7C"/>
    <w:rsid w:val="000578C0"/>
    <w:rsid w:val="00093BC9"/>
    <w:rsid w:val="00110CAA"/>
    <w:rsid w:val="0016328B"/>
    <w:rsid w:val="001A5168"/>
    <w:rsid w:val="001D1037"/>
    <w:rsid w:val="00202BA9"/>
    <w:rsid w:val="002330BB"/>
    <w:rsid w:val="002F0195"/>
    <w:rsid w:val="003F7751"/>
    <w:rsid w:val="00485586"/>
    <w:rsid w:val="005A075D"/>
    <w:rsid w:val="005C0B86"/>
    <w:rsid w:val="00790F77"/>
    <w:rsid w:val="00900792"/>
    <w:rsid w:val="009A04DC"/>
    <w:rsid w:val="00B319FE"/>
    <w:rsid w:val="00B3717F"/>
    <w:rsid w:val="00B5734C"/>
    <w:rsid w:val="00E12DCE"/>
    <w:rsid w:val="00EB7359"/>
    <w:rsid w:val="00F02C6C"/>
    <w:rsid w:val="00FF2E7A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037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paragraph" w:styleId="Textedebulles">
    <w:name w:val="Balloon Text"/>
    <w:basedOn w:val="Normal"/>
    <w:link w:val="TextedebullesCar1"/>
    <w:uiPriority w:val="99"/>
    <w:semiHidden/>
    <w:unhideWhenUsed/>
    <w:rsid w:val="00233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F2913"/>
    <w:rPr>
      <w:rFonts w:ascii="Lucida Grande" w:hAnsi="Lucida Grande"/>
      <w:sz w:val="18"/>
      <w:szCs w:val="18"/>
    </w:rPr>
  </w:style>
  <w:style w:type="table" w:styleId="Grille">
    <w:name w:val="Table Grid"/>
    <w:basedOn w:val="TableauNormal"/>
    <w:uiPriority w:val="59"/>
    <w:rsid w:val="00B573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5734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5734C"/>
    <w:rPr>
      <w:sz w:val="20"/>
      <w:szCs w:val="20"/>
    </w:rPr>
  </w:style>
  <w:style w:type="character" w:styleId="Marquenotebasdepage">
    <w:name w:val="footnote reference"/>
    <w:basedOn w:val="Policepardfaut"/>
    <w:uiPriority w:val="99"/>
    <w:semiHidden/>
    <w:unhideWhenUsed/>
    <w:rsid w:val="00B5734C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01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14E7C"/>
  </w:style>
  <w:style w:type="paragraph" w:styleId="Pieddepage">
    <w:name w:val="footer"/>
    <w:basedOn w:val="Normal"/>
    <w:link w:val="PieddepageCar"/>
    <w:uiPriority w:val="99"/>
    <w:unhideWhenUsed/>
    <w:rsid w:val="00014E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14E7C"/>
  </w:style>
  <w:style w:type="character" w:styleId="Numrodepage">
    <w:name w:val="page number"/>
    <w:basedOn w:val="Policepardfaut"/>
    <w:uiPriority w:val="99"/>
    <w:semiHidden/>
    <w:unhideWhenUsed/>
    <w:rsid w:val="00014E7C"/>
  </w:style>
  <w:style w:type="character" w:styleId="Lienhypertexte">
    <w:name w:val="Hyperlink"/>
    <w:uiPriority w:val="99"/>
    <w:semiHidden/>
    <w:unhideWhenUsed/>
    <w:rsid w:val="002F0195"/>
    <w:rPr>
      <w:color w:val="0000FF"/>
      <w:u w:val="single"/>
    </w:rPr>
  </w:style>
  <w:style w:type="character" w:customStyle="1" w:styleId="TextedebullesCar1">
    <w:name w:val="Texte de bulles Car1"/>
    <w:basedOn w:val="Policepardfaut"/>
    <w:link w:val="Textedebulles"/>
    <w:uiPriority w:val="99"/>
    <w:semiHidden/>
    <w:rsid w:val="002330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2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valbooks.com/xeno/index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60D1C-6319-F04F-AB0A-B8190E5F9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1684</Characters>
  <Application>Microsoft Macintosh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Haute Ecole de Namur</Company>
  <LinksUpToDate>false</LinksUpToDate>
  <CharactersWithSpaces>2068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prmulch</dc:creator>
  <cp:lastModifiedBy>Mirjam Egli Cuenat</cp:lastModifiedBy>
  <cp:revision>5</cp:revision>
  <dcterms:created xsi:type="dcterms:W3CDTF">2011-09-06T09:56:00Z</dcterms:created>
  <dcterms:modified xsi:type="dcterms:W3CDTF">2011-09-12T07:23:00Z</dcterms:modified>
</cp:coreProperties>
</file>